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C1" w:rsidRPr="00E563C1" w:rsidRDefault="00E563C1" w:rsidP="00E563C1">
      <w:pPr>
        <w:shd w:val="clear" w:color="auto" w:fill="FFFFFF"/>
        <w:spacing w:before="300" w:after="600" w:line="6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pt-BR"/>
        </w:rPr>
        <w:t xml:space="preserve">Provimento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pt-BR"/>
        </w:rPr>
        <w:t xml:space="preserve">N° </w:t>
      </w:r>
      <w:bookmarkStart w:id="0" w:name="_GoBack"/>
      <w:bookmarkEnd w:id="0"/>
      <w:r w:rsidRPr="00E563C1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pt-BR"/>
        </w:rPr>
        <w:t>185 - Prestação de Contas - Interino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PODER JUDICIÁRIO DO RIO GRANDE DO NORTE CORREGEDORIA GERAL DE JUSTIÇA PROVIMENTO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Nº 185, de 15 de abril de 2019 – CGJ/RN.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Altera o artigo 21 do Código de Normas desta Corregedoria Geral de Justiça (Caderno Extrajudicial) sobre a prestação de contas do interino do serviço extrajudicial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CORREGEDORIA GERAL DE JUSTIÇA DO ESTADO DO RIO GRANDE DO NORTE, no exercício de suas atribuições legais e regimentais,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 é missão institucional da Corregedoria Geral de Justiça promover constantemente o aperfeiçoamento dos serviços de notas e de registros públicos;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que, na reunião ocorrida em 11 de fevereiro de 2019, a Corregedoria Geral de Justiça, a Secretaria de Controle Interno e a Secretaria de Orçamento e Finanças concluíram que a prestação de contas dos interinos poderia ser otimizada com a elaboração de parecer técnico pela Secretaria de Controle Interno apenas nos casos em que a arrecadação da serventia viesse a superar o teto remuneratório;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que, por força da alteração introduzida pelo Provimento nº. 76/2018 da Corregedoria Nacional de Justiça, a periodicidade de recolhimento do valor da renda líquida excedente a 90,25% dos subsídios de Ministro do Supremo Tribunal Federal passou a ser trimestral, considerando-se as receitas e despesas do trimestre;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RESOLVE: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Art. 1º. Alterar o artigo 21 do Código de Normas desta Corregedoria Geral de Justiça que passará a ter a seguinte redação: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Art. 21 [...]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 1º. A prestação de contas deverá observar formulário padrão, disponível no site desta CGJ/RN, que deverá vir acompanhado da movimentação do Diário Auxiliar referente ao mês da prestação e indicará: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 - A identificação da serventia, o período de abrangência, o código nacional da serventia, o endereço sede e sua especialidade;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saldo de caixa (remanescente do mês anterior), receita do mês (emolumentos + aplicações financeiras) e valor total;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obrigações trabalhistas/previdenciárias, remuneração bruta do interino e funcionários, encargos próprios da sede (aluguel, energia elétrica, água, etc.); e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IV - seguros de incêndio/roubo/danos e responsabilidade civil.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 2º. Recebida e autuada a prestação de contas no Processo Administrativo Virtual (PAV), será enviada para o setor do Departamento de Orçamento e Arrecadação da Secretaria de Orçamento e Finanças do Tribunal de Justiça do Estado do Rio Grande do Norte que elaborará informação sobre a estimativa de arrecadação (emolumentos) da serventia a partir de dados do FDJ recolhido no mês de referência.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 3º. Caso a estimativa do valor de arrecadação informada pelo Departamento de Orçamento e Arrecadação supere o teto remuneratório, a prestação de contas será encaminhada à Secretaria de Controle Interno que elaborará parecer técnico sobre as contas, devendo ser aguardado o período de um trimestre do art. 13, VI, do Provimento n. 45/2015 (introduzido pelo Provimento nº. 76/2018) para avaliar se deva haver o recolhimento do excedente ao teto remuneratório.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 4º. Caso a estimativa do valor de arrecadação não supere o teto remuneratório, a prestação de contas será devolvida ao Juiz Corregedor Permanente.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 5º. Com a informação ou o parecer técnico, será dado vista ao Ministério Público pelo prazo de 05 (cinco) dias, após o que o Juiz Corregedor Permanente julgará as contas e, no prazo de 48 (quarenta e oito horas) comunicará à Corregedoria Geral de Justiça.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Art. 2º. Os casos omissos serão resolvidos pela Corregedoria Geral de Justiça.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Art. 3º. Este provimento entra em vigor na data de sua publicação.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Natal, 15 de abril de 2019.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Desembargador AMAURY MOURA SOBRINHO</w:t>
      </w:r>
    </w:p>
    <w:p w:rsidR="00E563C1" w:rsidRPr="00E563C1" w:rsidRDefault="00E563C1" w:rsidP="00E563C1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Corregedor Geral de Justiça  </w:t>
      </w:r>
    </w:p>
    <w:p w:rsidR="008A606A" w:rsidRPr="00E563C1" w:rsidRDefault="008A606A">
      <w:pPr>
        <w:rPr>
          <w:color w:val="000000" w:themeColor="text1"/>
        </w:rPr>
      </w:pPr>
    </w:p>
    <w:sectPr w:rsidR="008A606A" w:rsidRPr="00E56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C1"/>
    <w:rsid w:val="008A606A"/>
    <w:rsid w:val="00E5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6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63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6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63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Anoreg</dc:creator>
  <cp:lastModifiedBy>Anoreg</cp:lastModifiedBy>
  <cp:revision>1</cp:revision>
  <dcterms:created xsi:type="dcterms:W3CDTF">2019-04-17T12:53:00Z</dcterms:created>
  <dcterms:modified xsi:type="dcterms:W3CDTF">2019-04-17T12:55:00Z</dcterms:modified>
</cp:coreProperties>
</file>